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B" w:rsidRDefault="007B295D" w:rsidP="007B295D">
      <w:pPr>
        <w:pStyle w:val="NoSpacing"/>
      </w:pPr>
      <w:r>
        <w:t>VI_9:</w:t>
      </w:r>
      <w:r w:rsidR="00EC59AC">
        <w:t xml:space="preserve"> </w:t>
      </w:r>
      <w:r w:rsidR="00EC59AC" w:rsidRPr="00BA7883">
        <w:rPr>
          <w:b/>
          <w:bCs/>
          <w:sz w:val="28"/>
          <w:szCs w:val="28"/>
        </w:rPr>
        <w:t>Zinc Blend (</w:t>
      </w:r>
      <w:proofErr w:type="spellStart"/>
      <w:r w:rsidR="00EC59AC" w:rsidRPr="00BA7883">
        <w:rPr>
          <w:b/>
          <w:bCs/>
          <w:sz w:val="28"/>
          <w:szCs w:val="28"/>
        </w:rPr>
        <w:t>ZnS</w:t>
      </w:r>
      <w:proofErr w:type="spellEnd"/>
      <w:r w:rsidR="00EC59AC" w:rsidRPr="00BA7883">
        <w:rPr>
          <w:b/>
          <w:bCs/>
          <w:sz w:val="28"/>
          <w:szCs w:val="28"/>
        </w:rPr>
        <w:t>) structure:</w:t>
      </w:r>
      <w:r w:rsidR="00EC59AC">
        <w:t xml:space="preserve"> </w:t>
      </w:r>
    </w:p>
    <w:p w:rsidR="004F083F" w:rsidRDefault="004F083F" w:rsidP="007B295D">
      <w:pPr>
        <w:pStyle w:val="NoSpacing"/>
      </w:pPr>
      <w:r>
        <w:t xml:space="preserve">   The structure of </w:t>
      </w:r>
      <w:proofErr w:type="spellStart"/>
      <w:proofErr w:type="gramStart"/>
      <w:r>
        <w:t>ZnS</w:t>
      </w:r>
      <w:proofErr w:type="spellEnd"/>
      <w:r>
        <w:t xml:space="preserve">  is</w:t>
      </w:r>
      <w:proofErr w:type="gramEnd"/>
      <w:r>
        <w:t xml:space="preserve"> identical to diamond structure except that the two interpenetrating sub-lattices are occupied by different elements. </w:t>
      </w:r>
    </w:p>
    <w:p w:rsidR="004F083F" w:rsidRDefault="005D0619" w:rsidP="007B295D">
      <w:pPr>
        <w:pStyle w:val="NoSpacing"/>
      </w:pPr>
      <w:r>
        <w:t xml:space="preserve">   The no </w:t>
      </w:r>
      <w:proofErr w:type="gramStart"/>
      <w:r>
        <w:t xml:space="preserve">of </w:t>
      </w:r>
      <w:r w:rsidR="004F083F">
        <w:t xml:space="preserve"> atoms</w:t>
      </w:r>
      <w:proofErr w:type="gramEnd"/>
      <w:r w:rsidR="004F083F">
        <w:t xml:space="preserve">: There are 8 atoms in the eight corners and 6 atoms of the face-centers. So, total no. of </w:t>
      </w:r>
      <w:proofErr w:type="spellStart"/>
      <w:r w:rsidR="004F083F">
        <w:t>sulpher</w:t>
      </w:r>
      <w:proofErr w:type="spellEnd"/>
      <w:r w:rsidR="004F083F">
        <w:t xml:space="preserve"> atoms = (1/8 x 8) + (1/2 x 6) = 4, as each eight corner atoms will be shared by eight other cell and each face center</w:t>
      </w:r>
      <w:r>
        <w:t>e</w:t>
      </w:r>
      <w:r w:rsidR="004F083F">
        <w:t>d atom will be shared by two cells.</w:t>
      </w:r>
    </w:p>
    <w:p w:rsidR="005D0619" w:rsidRPr="005D0619" w:rsidRDefault="005D0619" w:rsidP="007B295D">
      <w:pPr>
        <w:pStyle w:val="NoSpacing"/>
      </w:pPr>
      <w:r>
        <w:t xml:space="preserve">   There are 8 tetrahedral voids at each corner of the cubic cell. Zn will exist in alternate void and the no. of Zn atoms=4. As Zn atom will </w:t>
      </w:r>
      <w:proofErr w:type="gramStart"/>
      <w:r>
        <w:t>lie</w:t>
      </w:r>
      <w:proofErr w:type="gramEnd"/>
      <w:r>
        <w:t xml:space="preserve"> on alternate tetrahedral void, there are 4 Zn atoms and hence four out of eight tetrahedral void will remain blank.</w:t>
      </w:r>
    </w:p>
    <w:p w:rsidR="006C3E15" w:rsidRDefault="006C3E15" w:rsidP="007B295D">
      <w:pPr>
        <w:pStyle w:val="NoSpacing"/>
        <w:rPr>
          <w:color w:val="000000" w:themeColor="text1"/>
          <w:szCs w:val="22"/>
        </w:rPr>
      </w:pPr>
      <w:r>
        <w:rPr>
          <w:noProof/>
          <w:color w:val="000000" w:themeColor="text1"/>
          <w:szCs w:val="22"/>
        </w:rPr>
        <w:drawing>
          <wp:inline distT="0" distB="0" distL="0" distR="0">
            <wp:extent cx="5574030" cy="15316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19" w:rsidRPr="005D0619" w:rsidRDefault="005D0619" w:rsidP="005D0619">
      <w:pPr>
        <w:pStyle w:val="NoSpacing"/>
        <w:rPr>
          <w:vertAlign w:val="superscript"/>
        </w:rPr>
      </w:pPr>
      <w:r>
        <w:t xml:space="preserve">    </w:t>
      </w:r>
      <w:proofErr w:type="spellStart"/>
      <w:r>
        <w:t>ZnS</w:t>
      </w:r>
      <w:proofErr w:type="spellEnd"/>
      <w:r>
        <w:t xml:space="preserve"> is an ionic crystal and should be written as Zn</w:t>
      </w:r>
      <w:r>
        <w:rPr>
          <w:vertAlign w:val="superscript"/>
        </w:rPr>
        <w:t>2+</w:t>
      </w:r>
      <w:r>
        <w:t>, S</w:t>
      </w:r>
      <w:r>
        <w:rPr>
          <w:vertAlign w:val="superscript"/>
        </w:rPr>
        <w:t>2-</w:t>
      </w:r>
    </w:p>
    <w:p w:rsidR="005D0619" w:rsidRDefault="005D0619" w:rsidP="005D0619">
      <w:pPr>
        <w:pStyle w:val="NoSpacing"/>
        <w:rPr>
          <w:rFonts w:cstheme="minorHAnsi"/>
          <w:vertAlign w:val="subscript"/>
        </w:rPr>
      </w:pPr>
      <w:r>
        <w:t xml:space="preserve">   Atomic radius of Zn</w:t>
      </w:r>
      <w:r>
        <w:rPr>
          <w:vertAlign w:val="superscript"/>
        </w:rPr>
        <w:t>2+</w:t>
      </w:r>
      <w:r>
        <w:t xml:space="preserve"> = 0.74</w:t>
      </w:r>
      <w:r w:rsidR="00A3753A">
        <w:rPr>
          <w:rFonts w:cstheme="minorHAnsi"/>
        </w:rPr>
        <w:t xml:space="preserve"> </w:t>
      </w:r>
      <w:r>
        <w:rPr>
          <w:rFonts w:cstheme="minorHAnsi"/>
        </w:rPr>
        <w:t>Å</w:t>
      </w:r>
      <w:r w:rsidR="00A3753A">
        <w:rPr>
          <w:rFonts w:cstheme="minorHAnsi"/>
        </w:rPr>
        <w:t xml:space="preserve"> and that of </w:t>
      </w:r>
      <w:r w:rsidR="00A3753A">
        <w:t>S</w:t>
      </w:r>
      <w:r w:rsidR="00A3753A">
        <w:rPr>
          <w:vertAlign w:val="superscript"/>
        </w:rPr>
        <w:t>2-</w:t>
      </w:r>
      <w:r w:rsidR="00A3753A">
        <w:t xml:space="preserve"> = 1.84 </w:t>
      </w:r>
      <w:r w:rsidR="00A3753A">
        <w:rPr>
          <w:rFonts w:cstheme="minorHAnsi"/>
        </w:rPr>
        <w:t xml:space="preserve">Å.  </w:t>
      </w:r>
    </w:p>
    <w:p w:rsidR="00A3753A" w:rsidRDefault="00A3753A" w:rsidP="005D0619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</w:rPr>
        <w:drawing>
          <wp:inline distT="0" distB="0" distL="0" distR="0">
            <wp:extent cx="1951038" cy="2795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3A" w:rsidRDefault="00A3753A" w:rsidP="005D0619">
      <w:pPr>
        <w:pStyle w:val="NoSpacing"/>
        <w:rPr>
          <w:rFonts w:eastAsiaTheme="minorEastAsia" w:cstheme="minorHAnsi"/>
        </w:rPr>
      </w:pPr>
      <w:r>
        <w:rPr>
          <w:rFonts w:cstheme="minorHAnsi"/>
        </w:rPr>
        <w:t xml:space="preserve">  As </w:t>
      </w:r>
      <w:proofErr w:type="spellStart"/>
      <w:r>
        <w:rPr>
          <w:rFonts w:cstheme="minorHAnsi"/>
        </w:rPr>
        <w:t>r</w:t>
      </w:r>
      <w:r>
        <w:rPr>
          <w:rFonts w:cstheme="minorHAnsi"/>
          <w:vertAlign w:val="subscript"/>
        </w:rPr>
        <w:t>s</w:t>
      </w:r>
      <w:proofErr w:type="spellEnd"/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&gt;</m:t>
        </m:r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r</w:t>
      </w:r>
      <w:r>
        <w:rPr>
          <w:rFonts w:eastAsiaTheme="minorEastAsia" w:cstheme="minorHAnsi"/>
          <w:vertAlign w:val="subscript"/>
        </w:rPr>
        <w:t>Zn</w:t>
      </w:r>
      <w:r>
        <w:rPr>
          <w:rFonts w:eastAsiaTheme="minorEastAsia" w:cstheme="minorHAnsi"/>
        </w:rPr>
        <w:t xml:space="preserve"> ,</w:t>
      </w:r>
      <w:proofErr w:type="gramEnd"/>
      <w:r>
        <w:rPr>
          <w:rFonts w:eastAsiaTheme="minorEastAsia" w:cstheme="minorHAnsi"/>
        </w:rPr>
        <w:t xml:space="preserve"> atoms </w:t>
      </w:r>
      <w:r w:rsidR="00BA7883">
        <w:rPr>
          <w:rFonts w:eastAsiaTheme="minorEastAsia" w:cstheme="minorHAnsi"/>
        </w:rPr>
        <w:t xml:space="preserve">with bigger radius (i.e., </w:t>
      </w:r>
      <w:proofErr w:type="spellStart"/>
      <w:r w:rsidR="00BA7883">
        <w:rPr>
          <w:rFonts w:eastAsiaTheme="minorEastAsia" w:cstheme="minorHAnsi"/>
        </w:rPr>
        <w:t>Sulpher</w:t>
      </w:r>
      <w:proofErr w:type="spellEnd"/>
      <w:r w:rsidR="00BA7883">
        <w:rPr>
          <w:rFonts w:eastAsiaTheme="minorEastAsia" w:cstheme="minorHAnsi"/>
        </w:rPr>
        <w:t>) will make tetrahedral structure.</w:t>
      </w:r>
    </w:p>
    <w:p w:rsidR="00BA7883" w:rsidRDefault="00BA7883" w:rsidP="005D0619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Tetrahedral voids are formed on the body diagonal. </w:t>
      </w:r>
    </w:p>
    <w:p w:rsidR="00BA7883" w:rsidRPr="00BA7883" w:rsidRDefault="00BA7883" w:rsidP="005D0619">
      <w:pPr>
        <w:pStyle w:val="NoSpacing"/>
        <w:rPr>
          <w:rFonts w:cstheme="minorHAnsi"/>
        </w:rPr>
      </w:pPr>
      <w:r>
        <w:rPr>
          <w:rFonts w:eastAsiaTheme="minorEastAsia" w:cstheme="minorHAnsi"/>
        </w:rPr>
        <w:t xml:space="preserve">   Every </w:t>
      </w:r>
      <w:r>
        <w:t>Zn</w:t>
      </w:r>
      <w:r>
        <w:rPr>
          <w:vertAlign w:val="superscript"/>
        </w:rPr>
        <w:t>2+</w:t>
      </w:r>
      <w:r>
        <w:t xml:space="preserve"> is surrounded by 4 </w:t>
      </w:r>
      <w:r>
        <w:rPr>
          <w:vertAlign w:val="superscript"/>
        </w:rPr>
        <w:t>+</w:t>
      </w:r>
      <w:r>
        <w:t>, S</w:t>
      </w:r>
      <w:r>
        <w:rPr>
          <w:vertAlign w:val="superscript"/>
        </w:rPr>
        <w:t>2-</w:t>
      </w:r>
      <w:r>
        <w:t xml:space="preserve"> ions and every </w:t>
      </w:r>
      <w:r>
        <w:rPr>
          <w:vertAlign w:val="superscript"/>
        </w:rPr>
        <w:t>+</w:t>
      </w:r>
      <w:r>
        <w:t>, S</w:t>
      </w:r>
      <w:r>
        <w:rPr>
          <w:vertAlign w:val="superscript"/>
        </w:rPr>
        <w:t>2-</w:t>
      </w:r>
      <w:r>
        <w:t xml:space="preserve"> ion is surrounded by 4 Zn</w:t>
      </w:r>
      <w:r>
        <w:rPr>
          <w:vertAlign w:val="superscript"/>
        </w:rPr>
        <w:t>2+</w:t>
      </w:r>
      <w:r>
        <w:t xml:space="preserve"> ions. So the co-ordination number of both the ions is 4.</w:t>
      </w:r>
    </w:p>
    <w:p w:rsidR="005D0619" w:rsidRDefault="00A3753A" w:rsidP="005D0619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  <w:r w:rsidR="003B70FB">
        <w:rPr>
          <w:rFonts w:cstheme="minorHAnsi"/>
          <w:noProof/>
        </w:rPr>
        <w:drawing>
          <wp:inline distT="0" distB="0" distL="0" distR="0">
            <wp:extent cx="2102538" cy="165407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0" cy="16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6D" w:rsidRDefault="0021546D" w:rsidP="005D0619">
      <w:pPr>
        <w:pStyle w:val="NoSpacing"/>
      </w:pPr>
      <w:r>
        <w:t xml:space="preserve">  For </w:t>
      </w:r>
      <w:proofErr w:type="spellStart"/>
      <w:r>
        <w:t>ZnS</w:t>
      </w:r>
      <w:proofErr w:type="spellEnd"/>
      <w:r>
        <w:t>,</w:t>
      </w:r>
    </w:p>
    <w:p w:rsidR="0021546D" w:rsidRDefault="0021546D" w:rsidP="005D0619">
      <w:pPr>
        <w:pStyle w:val="NoSpacing"/>
        <w:rPr>
          <w:rFonts w:eastAsiaTheme="minorEastAsia"/>
        </w:rPr>
      </w:pPr>
      <w:r>
        <w:t xml:space="preserve">               4</w:t>
      </w:r>
      <w:proofErr w:type="gramStart"/>
      <w:r>
        <w:t xml:space="preserve">( </w:t>
      </w:r>
      <w:proofErr w:type="spellStart"/>
      <w:r>
        <w:t>r</w:t>
      </w:r>
      <w:r>
        <w:rPr>
          <w:vertAlign w:val="subscript"/>
        </w:rPr>
        <w:t>Zn</w:t>
      </w:r>
      <w:proofErr w:type="spellEnd"/>
      <w:proofErr w:type="gramEnd"/>
      <w:r>
        <w:t xml:space="preserve"> +</w:t>
      </w:r>
      <w:r w:rsidR="005A4D3A">
        <w:t xml:space="preserve"> </w:t>
      </w:r>
      <w:proofErr w:type="spellStart"/>
      <w:r w:rsidR="005A4D3A">
        <w:t>r</w:t>
      </w:r>
      <w:r w:rsidR="005A4D3A">
        <w:rPr>
          <w:vertAlign w:val="subscript"/>
        </w:rPr>
        <w:t>S</w:t>
      </w:r>
      <w:proofErr w:type="spellEnd"/>
      <w:r>
        <w:t xml:space="preserve"> ) =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a,</w:t>
      </w:r>
    </w:p>
    <w:p w:rsidR="0021546D" w:rsidRDefault="0021546D" w:rsidP="005D061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:rsidR="0021546D" w:rsidRDefault="0021546D" w:rsidP="005D0619">
      <w:pPr>
        <w:pStyle w:val="NoSpacing"/>
      </w:pPr>
      <w:r>
        <w:rPr>
          <w:rFonts w:eastAsiaTheme="minorEastAsia"/>
        </w:rPr>
        <w:t xml:space="preserve">           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, 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 xml:space="preserve"> (</w:t>
      </w:r>
      <w:r>
        <w:t xml:space="preserve">( </w:t>
      </w:r>
      <w:proofErr w:type="spellStart"/>
      <w:r>
        <w:t>r</w:t>
      </w:r>
      <w:r>
        <w:rPr>
          <w:vertAlign w:val="subscript"/>
        </w:rPr>
        <w:t>Zn</w:t>
      </w:r>
      <w:proofErr w:type="spellEnd"/>
      <w:r>
        <w:t xml:space="preserve"> + </w:t>
      </w:r>
      <w:proofErr w:type="spellStart"/>
      <w:r>
        <w:t>r</w:t>
      </w:r>
      <w:r>
        <w:rPr>
          <w:vertAlign w:val="subscript"/>
        </w:rPr>
        <w:t>S</w:t>
      </w:r>
      <w:proofErr w:type="spellEnd"/>
      <w:r>
        <w:t xml:space="preserve"> ), where </w:t>
      </w:r>
      <w:proofErr w:type="spellStart"/>
      <w:r>
        <w:t>r</w:t>
      </w:r>
      <w:r>
        <w:rPr>
          <w:vertAlign w:val="subscript"/>
        </w:rPr>
        <w:t>Zn</w:t>
      </w:r>
      <w:proofErr w:type="spellEnd"/>
      <w:r>
        <w:rPr>
          <w:vertAlign w:val="subscript"/>
        </w:rPr>
        <w:t xml:space="preserve"> </w:t>
      </w:r>
      <w:r>
        <w:t xml:space="preserve">and </w:t>
      </w:r>
      <w:proofErr w:type="spellStart"/>
      <w:r>
        <w:t>r</w:t>
      </w:r>
      <w:r>
        <w:rPr>
          <w:vertAlign w:val="subscript"/>
        </w:rPr>
        <w:t>S</w:t>
      </w:r>
      <w:proofErr w:type="spellEnd"/>
      <w:r>
        <w:t xml:space="preserve"> are the radii of Zn</w:t>
      </w:r>
      <w:r>
        <w:rPr>
          <w:vertAlign w:val="superscript"/>
        </w:rPr>
        <w:t>2+</w:t>
      </w:r>
      <w:r>
        <w:t xml:space="preserve"> and S</w:t>
      </w:r>
      <w:r>
        <w:rPr>
          <w:vertAlign w:val="superscript"/>
        </w:rPr>
        <w:t>2-</w:t>
      </w:r>
      <w:r>
        <w:t xml:space="preserve"> respectively. (As there are 4 ions each, we are multiplying by 4).</w:t>
      </w:r>
    </w:p>
    <w:p w:rsidR="00F262DF" w:rsidRDefault="00F262DF" w:rsidP="005D0619">
      <w:pPr>
        <w:pStyle w:val="NoSpacing"/>
      </w:pPr>
      <w:r>
        <w:t xml:space="preserve">  Total volume of the four Zn</w:t>
      </w:r>
      <w:r>
        <w:rPr>
          <w:vertAlign w:val="superscript"/>
        </w:rPr>
        <w:t>2+</w:t>
      </w:r>
      <w:r>
        <w:t xml:space="preserve"> </w:t>
      </w:r>
      <w:proofErr w:type="gramStart"/>
      <w:r>
        <w:t>is  {</w:t>
      </w:r>
      <w:proofErr w:type="gramEnd"/>
      <w:r>
        <w:t xml:space="preserve">4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</w:t>
      </w:r>
      <w:r>
        <w:t>r</w:t>
      </w:r>
      <w:r>
        <w:rPr>
          <w:vertAlign w:val="subscript"/>
        </w:rPr>
        <w:t>Zn</w:t>
      </w:r>
      <w:r>
        <w:rPr>
          <w:vertAlign w:val="superscript"/>
        </w:rPr>
        <w:t>3</w:t>
      </w:r>
      <w:r>
        <w:t>} and that of the four S</w:t>
      </w:r>
      <w:r>
        <w:rPr>
          <w:vertAlign w:val="superscript"/>
        </w:rPr>
        <w:t>2-</w:t>
      </w:r>
      <w:r>
        <w:t xml:space="preserve"> is   {4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</w:t>
      </w:r>
      <w:proofErr w:type="spellStart"/>
      <w:r>
        <w:t>r</w:t>
      </w:r>
      <w:r>
        <w:rPr>
          <w:vertAlign w:val="subscript"/>
        </w:rPr>
        <w:t>S</w:t>
      </w:r>
      <w:proofErr w:type="spellEnd"/>
      <w:r>
        <w:rPr>
          <w:vertAlign w:val="superscript"/>
        </w:rPr>
        <w:t xml:space="preserve"> 3</w:t>
      </w:r>
      <w:r>
        <w:t>}.</w:t>
      </w:r>
    </w:p>
    <w:p w:rsidR="00F262DF" w:rsidRPr="00F262DF" w:rsidRDefault="00786CE0" w:rsidP="005D0619">
      <w:pPr>
        <w:pStyle w:val="NoSpacing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906278" cy="56494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15" cy="5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6D" w:rsidRDefault="0021546D" w:rsidP="005D0619">
      <w:pPr>
        <w:pStyle w:val="NoSpacing"/>
      </w:pPr>
    </w:p>
    <w:p w:rsidR="00914BD6" w:rsidRDefault="00914BD6" w:rsidP="005D0619">
      <w:pPr>
        <w:pStyle w:val="NoSpacing"/>
      </w:pPr>
    </w:p>
    <w:p w:rsidR="00914BD6" w:rsidRDefault="005C0CE5" w:rsidP="005D0619">
      <w:pPr>
        <w:pStyle w:val="NoSpacing"/>
      </w:pPr>
      <w: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4525406" cy="56494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46" cy="5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B1" w:rsidRDefault="00DF27B1" w:rsidP="005D0619">
      <w:pPr>
        <w:pStyle w:val="NoSpacing"/>
      </w:pPr>
      <w:r>
        <w:t xml:space="preserve">   Important compounds having this (</w:t>
      </w:r>
      <w:proofErr w:type="spellStart"/>
      <w:r>
        <w:t>ZnS</w:t>
      </w:r>
      <w:proofErr w:type="spellEnd"/>
      <w:r>
        <w:t xml:space="preserve"> like) structure are semiconductors In, </w:t>
      </w:r>
      <w:proofErr w:type="spellStart"/>
      <w:r>
        <w:t>Sn</w:t>
      </w:r>
      <w:proofErr w:type="spellEnd"/>
      <w:r>
        <w:t xml:space="preserve">, and </w:t>
      </w:r>
      <w:proofErr w:type="spellStart"/>
      <w:r>
        <w:t>GaAs</w:t>
      </w:r>
      <w:proofErr w:type="spellEnd"/>
      <w:r>
        <w:t xml:space="preserve">, </w:t>
      </w:r>
      <w:proofErr w:type="spellStart"/>
      <w:r>
        <w:t>CuCl</w:t>
      </w:r>
      <w:proofErr w:type="spellEnd"/>
      <w:r>
        <w:t xml:space="preserve">, </w:t>
      </w:r>
      <w:proofErr w:type="spellStart"/>
      <w:r>
        <w:t>CdS</w:t>
      </w:r>
      <w:proofErr w:type="spellEnd"/>
      <w:r>
        <w:t xml:space="preserve">, </w:t>
      </w:r>
    </w:p>
    <w:p w:rsidR="00DF27B1" w:rsidRDefault="00DF27B1" w:rsidP="005D0619">
      <w:pPr>
        <w:pStyle w:val="NoSpacing"/>
      </w:pPr>
      <w:proofErr w:type="spellStart"/>
      <w:r>
        <w:t>AgI</w:t>
      </w:r>
      <w:proofErr w:type="spellEnd"/>
      <w:r>
        <w:t xml:space="preserve">, </w:t>
      </w:r>
      <w:proofErr w:type="spellStart"/>
      <w:r>
        <w:t>ZnSe</w:t>
      </w:r>
      <w:proofErr w:type="spellEnd"/>
      <w:r>
        <w:t xml:space="preserve">, </w:t>
      </w:r>
      <w:proofErr w:type="spellStart"/>
      <w:r>
        <w:t>SiC</w:t>
      </w:r>
      <w:proofErr w:type="spellEnd"/>
      <w:r>
        <w:t xml:space="preserve"> etc. </w:t>
      </w:r>
    </w:p>
    <w:p w:rsidR="0021546D" w:rsidRDefault="0021546D" w:rsidP="005D0619">
      <w:pPr>
        <w:pStyle w:val="NoSpacing"/>
      </w:pPr>
    </w:p>
    <w:p w:rsidR="0021546D" w:rsidRDefault="0021546D" w:rsidP="005D0619">
      <w:pPr>
        <w:pStyle w:val="NoSpacing"/>
      </w:pPr>
    </w:p>
    <w:p w:rsidR="0021546D" w:rsidRDefault="0021546D" w:rsidP="005D0619">
      <w:pPr>
        <w:pStyle w:val="NoSpacing"/>
      </w:pPr>
    </w:p>
    <w:p w:rsidR="005D0619" w:rsidRDefault="005D0619" w:rsidP="005D0619">
      <w:pPr>
        <w:pStyle w:val="NoSpacing"/>
        <w:rPr>
          <w:color w:val="000000" w:themeColor="text1"/>
          <w:spacing w:val="-4"/>
          <w:szCs w:val="22"/>
          <w:shd w:val="clear" w:color="auto" w:fill="FFFFFF"/>
        </w:rPr>
      </w:pPr>
      <w:r w:rsidRPr="0021546D">
        <w:rPr>
          <w:sz w:val="32"/>
          <w:szCs w:val="32"/>
        </w:rPr>
        <w:t>[</w:t>
      </w:r>
      <w:r w:rsidRPr="006C3E15">
        <w:rPr>
          <w:color w:val="000000" w:themeColor="text1"/>
          <w:spacing w:val="-4"/>
          <w:szCs w:val="22"/>
          <w:shd w:val="clear" w:color="auto" w:fill="FFFFFF"/>
        </w:rPr>
        <w:t>The </w:t>
      </w:r>
      <w:hyperlink r:id="rId11" w:tgtFrame="_blank" w:history="1">
        <w:r w:rsidRPr="006C3E15">
          <w:rPr>
            <w:rStyle w:val="Hyperlink"/>
            <w:color w:val="000000" w:themeColor="text1"/>
            <w:spacing w:val="-4"/>
            <w:szCs w:val="22"/>
            <w:u w:val="none"/>
            <w:bdr w:val="none" w:sz="0" w:space="0" w:color="auto" w:frame="1"/>
            <w:shd w:val="clear" w:color="auto" w:fill="FFFFFF"/>
          </w:rPr>
          <w:t>crystalline</w:t>
        </w:r>
      </w:hyperlink>
      <w:r w:rsidRPr="006C3E15">
        <w:rPr>
          <w:color w:val="000000" w:themeColor="text1"/>
          <w:spacing w:val="-4"/>
          <w:szCs w:val="22"/>
          <w:shd w:val="clear" w:color="auto" w:fill="FFFFFF"/>
        </w:rPr>
        <w:t> solids are characterized by their space lattices and close packing of atoms. However, these </w:t>
      </w:r>
      <w:hyperlink r:id="rId12" w:history="1">
        <w:r w:rsidRPr="006C3E15">
          <w:rPr>
            <w:rStyle w:val="Hyperlink"/>
            <w:color w:val="000000" w:themeColor="text1"/>
            <w:spacing w:val="-4"/>
            <w:szCs w:val="22"/>
            <w:u w:val="none"/>
            <w:bdr w:val="none" w:sz="0" w:space="0" w:color="auto" w:frame="1"/>
            <w:shd w:val="clear" w:color="auto" w:fill="FFFFFF"/>
          </w:rPr>
          <w:t>structures</w:t>
        </w:r>
      </w:hyperlink>
      <w:r w:rsidRPr="006C3E15">
        <w:rPr>
          <w:color w:val="000000" w:themeColor="text1"/>
          <w:spacing w:val="-4"/>
          <w:szCs w:val="22"/>
          <w:shd w:val="clear" w:color="auto" w:fill="FFFFFF"/>
        </w:rPr>
        <w:t> have some gaps in their arrangement we call voids.</w:t>
      </w:r>
      <w:r>
        <w:rPr>
          <w:color w:val="000000" w:themeColor="text1"/>
          <w:spacing w:val="-4"/>
          <w:szCs w:val="22"/>
          <w:shd w:val="clear" w:color="auto" w:fill="FFFFFF"/>
        </w:rPr>
        <w:t xml:space="preserve"> </w:t>
      </w:r>
    </w:p>
    <w:p w:rsidR="005D0619" w:rsidRDefault="005D0619" w:rsidP="005D0619">
      <w:pPr>
        <w:pStyle w:val="NoSpacing"/>
        <w:rPr>
          <w:color w:val="000000" w:themeColor="text1"/>
          <w:spacing w:val="-4"/>
          <w:sz w:val="32"/>
          <w:szCs w:val="32"/>
          <w:shd w:val="clear" w:color="auto" w:fill="FFFFFF"/>
        </w:rPr>
      </w:pPr>
      <w:r>
        <w:rPr>
          <w:color w:val="000000" w:themeColor="text1"/>
          <w:spacing w:val="-4"/>
          <w:szCs w:val="22"/>
          <w:shd w:val="clear" w:color="auto" w:fill="FFFFFF"/>
        </w:rPr>
        <w:t xml:space="preserve">   A regular tetrahedron is one in which all four faces are equilateral triangles.  In geometry, an equilateral triangle is a triangle in which all three sides are equal. The angles between the arms are 60</w:t>
      </w:r>
      <w:r>
        <w:rPr>
          <w:color w:val="000000" w:themeColor="text1"/>
          <w:spacing w:val="-4"/>
          <w:szCs w:val="22"/>
          <w:shd w:val="clear" w:color="auto" w:fill="FFFFFF"/>
          <w:vertAlign w:val="superscript"/>
        </w:rPr>
        <w:t>0</w:t>
      </w:r>
      <w:r>
        <w:rPr>
          <w:color w:val="000000" w:themeColor="text1"/>
          <w:spacing w:val="-4"/>
          <w:szCs w:val="22"/>
          <w:shd w:val="clear" w:color="auto" w:fill="FFFFFF"/>
        </w:rPr>
        <w:t>.</w:t>
      </w:r>
      <w:r w:rsidR="0021546D" w:rsidRPr="0021546D">
        <w:rPr>
          <w:color w:val="000000" w:themeColor="text1"/>
          <w:spacing w:val="-4"/>
          <w:sz w:val="32"/>
          <w:szCs w:val="32"/>
          <w:shd w:val="clear" w:color="auto" w:fill="FFFFFF"/>
        </w:rPr>
        <w:t>]</w:t>
      </w:r>
    </w:p>
    <w:p w:rsidR="0021546D" w:rsidRDefault="0021546D" w:rsidP="005D0619">
      <w:pPr>
        <w:pStyle w:val="NoSpacing"/>
        <w:rPr>
          <w:color w:val="000000" w:themeColor="text1"/>
          <w:spacing w:val="-4"/>
          <w:sz w:val="32"/>
          <w:szCs w:val="32"/>
          <w:shd w:val="clear" w:color="auto" w:fill="FFFFFF"/>
        </w:rPr>
      </w:pPr>
    </w:p>
    <w:p w:rsidR="0021546D" w:rsidRDefault="0021546D" w:rsidP="005D0619">
      <w:pPr>
        <w:pStyle w:val="NoSpacing"/>
        <w:rPr>
          <w:color w:val="000000" w:themeColor="text1"/>
          <w:spacing w:val="-4"/>
          <w:szCs w:val="22"/>
          <w:shd w:val="clear" w:color="auto" w:fill="FFFFFF"/>
        </w:rPr>
      </w:pPr>
    </w:p>
    <w:p w:rsidR="003B70FB" w:rsidRDefault="003B70FB" w:rsidP="005D0619">
      <w:pPr>
        <w:pStyle w:val="NoSpacing"/>
        <w:rPr>
          <w:color w:val="000000" w:themeColor="text1"/>
          <w:spacing w:val="-4"/>
          <w:szCs w:val="22"/>
          <w:shd w:val="clear" w:color="auto" w:fill="FFFFFF"/>
        </w:rPr>
      </w:pPr>
      <w:r>
        <w:rPr>
          <w:color w:val="000000" w:themeColor="text1"/>
          <w:spacing w:val="-4"/>
          <w:szCs w:val="22"/>
          <w:shd w:val="clear" w:color="auto" w:fill="FFFFFF"/>
        </w:rPr>
        <w:t>Method of drawing the structure:</w:t>
      </w:r>
    </w:p>
    <w:p w:rsidR="003B70FB" w:rsidRDefault="00071EB3" w:rsidP="005D0619">
      <w:pPr>
        <w:pStyle w:val="NoSpacing"/>
        <w:rPr>
          <w:color w:val="000000" w:themeColor="text1"/>
          <w:spacing w:val="-4"/>
          <w:szCs w:val="22"/>
          <w:shd w:val="clear" w:color="auto" w:fill="FFFFFF"/>
        </w:rPr>
      </w:pPr>
      <w:r>
        <w:rPr>
          <w:noProof/>
          <w:color w:val="000000" w:themeColor="text1"/>
          <w:spacing w:val="-4"/>
          <w:szCs w:val="22"/>
          <w:shd w:val="clear" w:color="auto" w:fill="FFFFFF"/>
        </w:rPr>
        <w:drawing>
          <wp:inline distT="0" distB="0" distL="0" distR="0">
            <wp:extent cx="5731017" cy="179385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31" cy="17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FB" w:rsidRPr="006C3E15" w:rsidRDefault="003B70FB" w:rsidP="005D0619">
      <w:pPr>
        <w:pStyle w:val="NoSpacing"/>
        <w:rPr>
          <w:color w:val="000000" w:themeColor="text1"/>
          <w:spacing w:val="-4"/>
          <w:szCs w:val="22"/>
          <w:shd w:val="clear" w:color="auto" w:fill="FFFFFF"/>
        </w:rPr>
      </w:pPr>
      <w:r>
        <w:rPr>
          <w:noProof/>
          <w:color w:val="000000" w:themeColor="text1"/>
          <w:spacing w:val="-4"/>
          <w:szCs w:val="22"/>
          <w:shd w:val="clear" w:color="auto" w:fill="FFFFFF"/>
        </w:rPr>
        <w:drawing>
          <wp:inline distT="0" distB="0" distL="0" distR="0">
            <wp:extent cx="5934710" cy="171259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19" w:rsidRDefault="005D0619" w:rsidP="007B295D">
      <w:pPr>
        <w:pStyle w:val="NoSpacing"/>
        <w:rPr>
          <w:color w:val="000000" w:themeColor="text1"/>
          <w:szCs w:val="22"/>
        </w:rPr>
      </w:pPr>
    </w:p>
    <w:p w:rsidR="005A0214" w:rsidRDefault="005A0214" w:rsidP="007B295D">
      <w:pPr>
        <w:pStyle w:val="NoSpacing"/>
        <w:rPr>
          <w:color w:val="000000" w:themeColor="text1"/>
          <w:szCs w:val="22"/>
        </w:rPr>
      </w:pPr>
    </w:p>
    <w:p w:rsidR="005A0214" w:rsidRDefault="005A0214" w:rsidP="007B295D">
      <w:pPr>
        <w:pStyle w:val="NoSpacing"/>
        <w:rPr>
          <w:color w:val="000000" w:themeColor="text1"/>
          <w:szCs w:val="22"/>
        </w:rPr>
      </w:pPr>
      <w:bookmarkStart w:id="0" w:name="_GoBack"/>
      <w:bookmarkEnd w:id="0"/>
    </w:p>
    <w:p w:rsidR="005A0214" w:rsidRDefault="005A0214" w:rsidP="007B295D">
      <w:pPr>
        <w:pStyle w:val="NoSpacing"/>
        <w:rPr>
          <w:color w:val="000000" w:themeColor="text1"/>
          <w:szCs w:val="22"/>
        </w:rPr>
      </w:pPr>
    </w:p>
    <w:p w:rsidR="005A0214" w:rsidRDefault="005A0214" w:rsidP="007B295D">
      <w:pPr>
        <w:pStyle w:val="NoSpacing"/>
        <w:rPr>
          <w:color w:val="000000" w:themeColor="text1"/>
          <w:szCs w:val="22"/>
        </w:rPr>
      </w:pPr>
    </w:p>
    <w:p w:rsidR="005A0214" w:rsidRPr="006C3E15" w:rsidRDefault="005A0214" w:rsidP="007B295D">
      <w:pPr>
        <w:pStyle w:val="NoSpacing"/>
        <w:rPr>
          <w:color w:val="000000" w:themeColor="text1"/>
          <w:szCs w:val="22"/>
        </w:rPr>
      </w:pPr>
      <w:r>
        <w:rPr>
          <w:noProof/>
          <w:color w:val="000000" w:themeColor="text1"/>
          <w:szCs w:val="22"/>
        </w:rPr>
        <w:drawing>
          <wp:inline distT="0" distB="0" distL="0" distR="0">
            <wp:extent cx="5934710" cy="34353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14" w:rsidRPr="006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5D"/>
    <w:rsid w:val="00071EB3"/>
    <w:rsid w:val="0021546D"/>
    <w:rsid w:val="003B70FB"/>
    <w:rsid w:val="004F083F"/>
    <w:rsid w:val="005A0214"/>
    <w:rsid w:val="005A4D3A"/>
    <w:rsid w:val="005C0CE5"/>
    <w:rsid w:val="005D0619"/>
    <w:rsid w:val="006C3E15"/>
    <w:rsid w:val="00786CE0"/>
    <w:rsid w:val="007B295D"/>
    <w:rsid w:val="00914BD6"/>
    <w:rsid w:val="00A3753A"/>
    <w:rsid w:val="00B618CB"/>
    <w:rsid w:val="00BA7883"/>
    <w:rsid w:val="00DF27B1"/>
    <w:rsid w:val="00EC59AC"/>
    <w:rsid w:val="00F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5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2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1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5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375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5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2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1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5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37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toppr.com/guides/business-management-entrepreneurship/organizing/structure-of-organiz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oppr.com/guides/chemistry/the-solid-state/crystalline-and-amorphous-solid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451E-DFC8-4D06-BFB3-FDD6C467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2021-06-22T03:54:00Z</dcterms:created>
  <dcterms:modified xsi:type="dcterms:W3CDTF">2021-06-22T11:09:00Z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